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5CC2" w:rsidRPr="00750107" w:rsidRDefault="00D15CC2" w:rsidP="00D15CC2">
      <w:pPr>
        <w:jc w:val="center"/>
        <w:rPr>
          <w:b/>
          <w:sz w:val="24"/>
          <w:szCs w:val="24"/>
          <w:lang w:val="es-ES_tradnl"/>
        </w:rPr>
      </w:pPr>
      <w:r w:rsidRPr="00750107">
        <w:rPr>
          <w:b/>
          <w:sz w:val="24"/>
          <w:szCs w:val="24"/>
          <w:lang w:val="es-ES_tradnl"/>
        </w:rPr>
        <w:t>RESUMEN EJECUTIVO</w:t>
      </w:r>
    </w:p>
    <w:p w:rsidR="00D15CC2" w:rsidRPr="00750107" w:rsidRDefault="00D15CC2" w:rsidP="00D15CC2">
      <w:pPr>
        <w:jc w:val="both"/>
        <w:rPr>
          <w:b/>
          <w:sz w:val="24"/>
          <w:szCs w:val="24"/>
          <w:lang w:val="es-ES_tradnl"/>
        </w:rPr>
      </w:pPr>
    </w:p>
    <w:p w:rsidR="00D15CC2" w:rsidRPr="00750107" w:rsidRDefault="00D15CC2" w:rsidP="00D15CC2">
      <w:pPr>
        <w:jc w:val="center"/>
        <w:rPr>
          <w:b/>
          <w:sz w:val="24"/>
          <w:szCs w:val="24"/>
          <w:lang w:val="es-ES_tradnl"/>
        </w:rPr>
      </w:pPr>
      <w:r w:rsidRPr="00750107">
        <w:rPr>
          <w:b/>
          <w:sz w:val="24"/>
          <w:szCs w:val="24"/>
          <w:lang w:val="es-ES_tradnl"/>
        </w:rPr>
        <w:t xml:space="preserve">UAI INF. </w:t>
      </w:r>
      <w:proofErr w:type="spellStart"/>
      <w:r w:rsidRPr="00750107">
        <w:rPr>
          <w:b/>
          <w:sz w:val="24"/>
          <w:szCs w:val="24"/>
          <w:lang w:val="es-ES_tradnl"/>
        </w:rPr>
        <w:t>Nº</w:t>
      </w:r>
      <w:proofErr w:type="spellEnd"/>
      <w:r w:rsidRPr="00750107">
        <w:rPr>
          <w:b/>
          <w:sz w:val="24"/>
          <w:szCs w:val="24"/>
          <w:lang w:val="es-ES_tradnl"/>
        </w:rPr>
        <w:t xml:space="preserve"> 02/2025</w:t>
      </w:r>
    </w:p>
    <w:p w:rsidR="00D15CC2" w:rsidRPr="00750107" w:rsidRDefault="00D15CC2" w:rsidP="00D15CC2">
      <w:pPr>
        <w:jc w:val="both"/>
        <w:rPr>
          <w:b/>
          <w:sz w:val="24"/>
          <w:szCs w:val="24"/>
          <w:lang w:val="es-ES_tradnl"/>
        </w:rPr>
      </w:pPr>
    </w:p>
    <w:p w:rsidR="00D15CC2" w:rsidRPr="00750107" w:rsidRDefault="00D15CC2" w:rsidP="00D15CC2">
      <w:pPr>
        <w:jc w:val="center"/>
        <w:rPr>
          <w:b/>
          <w:sz w:val="24"/>
          <w:szCs w:val="24"/>
        </w:rPr>
      </w:pPr>
      <w:r w:rsidRPr="00750107">
        <w:rPr>
          <w:b/>
          <w:sz w:val="24"/>
          <w:szCs w:val="24"/>
        </w:rPr>
        <w:t>INFORME DE LA AUDITORIA DE CONFIABILIDAD DE LOS REGISTROS Y ESTADOS FINANCIEROS DE LA UNIVERSIDAD MAYOR, REAL Y PONTIFICIA DE SAN FRANCISCO XAVIER DE CHUQUI</w:t>
      </w:r>
      <w:r>
        <w:rPr>
          <w:b/>
          <w:sz w:val="24"/>
          <w:szCs w:val="24"/>
        </w:rPr>
        <w:t>SACA, AL 31 DE DICIEMBRE DE 2024</w:t>
      </w:r>
    </w:p>
    <w:p w:rsidR="00D15CC2" w:rsidRPr="006D643B" w:rsidRDefault="00D15CC2" w:rsidP="00D15CC2">
      <w:pPr>
        <w:jc w:val="both"/>
        <w:rPr>
          <w:b/>
          <w:sz w:val="24"/>
          <w:szCs w:val="24"/>
          <w:highlight w:val="yellow"/>
        </w:rPr>
      </w:pPr>
    </w:p>
    <w:p w:rsidR="00D15CC2" w:rsidRPr="006D643B" w:rsidRDefault="00D15CC2" w:rsidP="00D15CC2">
      <w:pPr>
        <w:jc w:val="both"/>
        <w:rPr>
          <w:sz w:val="24"/>
          <w:szCs w:val="24"/>
          <w:highlight w:val="yellow"/>
        </w:rPr>
      </w:pPr>
      <w:r>
        <w:rPr>
          <w:color w:val="000000"/>
          <w:sz w:val="24"/>
          <w:szCs w:val="24"/>
        </w:rPr>
        <w:t xml:space="preserve">El artículo 15º y 27º inciso e) de la Ley </w:t>
      </w:r>
      <w:proofErr w:type="spellStart"/>
      <w:r>
        <w:rPr>
          <w:color w:val="000000"/>
          <w:sz w:val="24"/>
          <w:szCs w:val="24"/>
        </w:rPr>
        <w:t>Nº</w:t>
      </w:r>
      <w:proofErr w:type="spellEnd"/>
      <w:r>
        <w:rPr>
          <w:color w:val="000000"/>
          <w:sz w:val="24"/>
          <w:szCs w:val="24"/>
        </w:rPr>
        <w:t xml:space="preserve"> 1178 de Administración y Control Gubernamentales de 20 de julio de 1990, establece que la auditoría interna debe determinar la confiabilidad de los registros y estados financieros. Para el efecto, la Contraloría General del Estado, ha emitido las Normas de Auditoría de Confiabilidad de los Registros y Estados Financieros, aprobadas con Resolución </w:t>
      </w:r>
      <w:proofErr w:type="spellStart"/>
      <w:r>
        <w:rPr>
          <w:color w:val="000000"/>
          <w:sz w:val="24"/>
          <w:szCs w:val="24"/>
        </w:rPr>
        <w:t>Nº</w:t>
      </w:r>
      <w:proofErr w:type="spellEnd"/>
      <w:r>
        <w:rPr>
          <w:color w:val="000000"/>
          <w:sz w:val="24"/>
          <w:szCs w:val="24"/>
        </w:rPr>
        <w:t xml:space="preserve"> CGE/073/2021 de 28 de octubre de 2021.</w:t>
      </w:r>
    </w:p>
    <w:p w:rsidR="00D15CC2" w:rsidRPr="006D643B" w:rsidRDefault="00D15CC2" w:rsidP="00D15CC2">
      <w:pPr>
        <w:jc w:val="both"/>
        <w:rPr>
          <w:sz w:val="24"/>
          <w:szCs w:val="24"/>
          <w:highlight w:val="yellow"/>
        </w:rPr>
      </w:pPr>
    </w:p>
    <w:p w:rsidR="00D15CC2" w:rsidRPr="006D643B" w:rsidRDefault="00D15CC2" w:rsidP="00D15CC2">
      <w:pPr>
        <w:jc w:val="both"/>
        <w:rPr>
          <w:sz w:val="24"/>
          <w:szCs w:val="24"/>
          <w:highlight w:val="yellow"/>
        </w:rPr>
      </w:pPr>
      <w:r>
        <w:rPr>
          <w:color w:val="000000"/>
          <w:sz w:val="24"/>
          <w:szCs w:val="24"/>
        </w:rPr>
        <w:t>Para su cumplimiento, la Unidad de Auditoría Interna de la Universidad, en su Programación Operativa Anual 2024 y 2025, programó la ejecución de la Auditoría de Confiabilidad de los Registros y Estados Financieros de la Universidad San Francisco Xavier de Chuquisaca al 31 de diciembre de 2024; para la gestión 2024, la emisión del pronunciamiento sobre la confiabilidad de los registros; además, del pronunciamiento sobre la confiabilidad de los estados financieros, en un informe por separado.</w:t>
      </w:r>
    </w:p>
    <w:p w:rsidR="00D15CC2" w:rsidRPr="00A8042F" w:rsidRDefault="00D15CC2" w:rsidP="00D15CC2"/>
    <w:p w:rsidR="00D15CC2" w:rsidRPr="00A8042F" w:rsidRDefault="00D15CC2" w:rsidP="00D15CC2">
      <w:pPr>
        <w:numPr>
          <w:ilvl w:val="0"/>
          <w:numId w:val="1"/>
        </w:numPr>
        <w:pBdr>
          <w:top w:val="nil"/>
          <w:left w:val="nil"/>
          <w:bottom w:val="nil"/>
          <w:right w:val="nil"/>
          <w:between w:val="nil"/>
        </w:pBdr>
        <w:ind w:left="426" w:hanging="425"/>
        <w:jc w:val="both"/>
        <w:rPr>
          <w:color w:val="000000"/>
          <w:sz w:val="24"/>
          <w:szCs w:val="24"/>
        </w:rPr>
      </w:pPr>
      <w:r w:rsidRPr="00A8042F">
        <w:rPr>
          <w:color w:val="000000"/>
          <w:sz w:val="24"/>
          <w:szCs w:val="24"/>
        </w:rPr>
        <w:t>El objetivo de la Auditoría de Confiabilidad de los Registros y Estados Financieros, es la acumulación y evaluación objetiva de evidencia, con el propósito de emitir pronunciamiento sobre la confiabilidad de los registros y estados financieros en el marco de las</w:t>
      </w:r>
      <w:r w:rsidRPr="00A8042F">
        <w:rPr>
          <w:sz w:val="24"/>
          <w:szCs w:val="24"/>
        </w:rPr>
        <w:t xml:space="preserve"> </w:t>
      </w:r>
      <w:r w:rsidRPr="00A8042F">
        <w:rPr>
          <w:color w:val="000000"/>
          <w:sz w:val="24"/>
          <w:szCs w:val="24"/>
        </w:rPr>
        <w:t xml:space="preserve">Normas Básicas del Sistema de Contabilidad Integrada (NBSCI). </w:t>
      </w:r>
    </w:p>
    <w:p w:rsidR="00D15CC2" w:rsidRPr="00A8042F" w:rsidRDefault="00D15CC2" w:rsidP="00D15CC2">
      <w:pPr>
        <w:pBdr>
          <w:top w:val="nil"/>
          <w:left w:val="nil"/>
          <w:bottom w:val="nil"/>
          <w:right w:val="nil"/>
          <w:between w:val="nil"/>
        </w:pBdr>
        <w:ind w:left="993" w:hanging="426"/>
        <w:jc w:val="both"/>
        <w:rPr>
          <w:color w:val="000000"/>
          <w:sz w:val="24"/>
          <w:szCs w:val="24"/>
        </w:rPr>
      </w:pPr>
    </w:p>
    <w:p w:rsidR="00D15CC2" w:rsidRPr="00A8042F" w:rsidRDefault="00D15CC2" w:rsidP="00D15CC2">
      <w:pPr>
        <w:numPr>
          <w:ilvl w:val="0"/>
          <w:numId w:val="1"/>
        </w:numPr>
        <w:pBdr>
          <w:top w:val="nil"/>
          <w:left w:val="nil"/>
          <w:bottom w:val="nil"/>
          <w:right w:val="nil"/>
          <w:between w:val="nil"/>
        </w:pBdr>
        <w:ind w:left="426" w:hanging="425"/>
        <w:jc w:val="both"/>
        <w:rPr>
          <w:color w:val="000000"/>
          <w:sz w:val="24"/>
          <w:szCs w:val="24"/>
        </w:rPr>
      </w:pPr>
      <w:r w:rsidRPr="00A8042F">
        <w:rPr>
          <w:color w:val="000000"/>
          <w:sz w:val="24"/>
          <w:szCs w:val="24"/>
        </w:rPr>
        <w:t xml:space="preserve">Determinar si las acciones de control interno relacionada con los estados financieros, han sido diseñadas y funcionan adecuadamente para lograr la consecución de los objetivos de la Entidad Pública al 31 de diciembre de 2024. </w:t>
      </w:r>
    </w:p>
    <w:p w:rsidR="00D15CC2" w:rsidRPr="00A8042F" w:rsidRDefault="00D15CC2" w:rsidP="00D15CC2">
      <w:pPr>
        <w:tabs>
          <w:tab w:val="left" w:pos="709"/>
        </w:tabs>
        <w:jc w:val="both"/>
        <w:rPr>
          <w:color w:val="000000"/>
          <w:sz w:val="24"/>
          <w:szCs w:val="24"/>
        </w:rPr>
      </w:pPr>
    </w:p>
    <w:p w:rsidR="00D15CC2" w:rsidRPr="00A8042F" w:rsidRDefault="00D15CC2" w:rsidP="00D15CC2">
      <w:pPr>
        <w:suppressAutoHyphens/>
        <w:ind w:right="-23"/>
        <w:jc w:val="both"/>
        <w:rPr>
          <w:spacing w:val="-3"/>
          <w:sz w:val="24"/>
          <w:szCs w:val="24"/>
        </w:rPr>
      </w:pPr>
      <w:r w:rsidRPr="00A8042F">
        <w:rPr>
          <w:sz w:val="24"/>
          <w:szCs w:val="24"/>
        </w:rPr>
        <w:t>Son objeto de la presente auditoría, los registros contables, la documentación administrativa y contable de respaldo que tienen relación directa con los estados financieros comparativos de la Universidad y los controles incorporados en ellos, cuyo detalle, entre otros, tienen relación directa con las operaciones críticas correspondientes a la gestión 2024.</w:t>
      </w:r>
    </w:p>
    <w:p w:rsidR="00D15CC2" w:rsidRPr="00A8042F" w:rsidRDefault="00D15CC2" w:rsidP="00D15CC2">
      <w:pPr>
        <w:ind w:left="567"/>
        <w:rPr>
          <w:sz w:val="24"/>
          <w:szCs w:val="24"/>
        </w:rPr>
      </w:pPr>
    </w:p>
    <w:p w:rsidR="00D15CC2" w:rsidRPr="00A8042F" w:rsidRDefault="00D15CC2" w:rsidP="00D15CC2">
      <w:pPr>
        <w:suppressAutoHyphens/>
        <w:ind w:right="-23"/>
        <w:jc w:val="both"/>
        <w:rPr>
          <w:b/>
          <w:spacing w:val="-3"/>
          <w:sz w:val="24"/>
          <w:szCs w:val="24"/>
        </w:rPr>
      </w:pPr>
      <w:r w:rsidRPr="00A8042F">
        <w:rPr>
          <w:b/>
          <w:spacing w:val="-3"/>
          <w:sz w:val="24"/>
          <w:szCs w:val="24"/>
        </w:rPr>
        <w:t>Presupuestarios</w:t>
      </w:r>
    </w:p>
    <w:p w:rsidR="00D15CC2" w:rsidRPr="00A8042F" w:rsidRDefault="00D15CC2" w:rsidP="00D15CC2">
      <w:pPr>
        <w:pStyle w:val="Prrafodelista"/>
        <w:numPr>
          <w:ilvl w:val="0"/>
          <w:numId w:val="2"/>
        </w:numPr>
        <w:ind w:left="426" w:hanging="426"/>
        <w:jc w:val="both"/>
        <w:rPr>
          <w:sz w:val="24"/>
          <w:szCs w:val="24"/>
        </w:rPr>
      </w:pPr>
      <w:r w:rsidRPr="00A8042F">
        <w:rPr>
          <w:sz w:val="24"/>
          <w:szCs w:val="24"/>
        </w:rPr>
        <w:t>Estado de Ejecución del Presupuesto de Recursos</w:t>
      </w:r>
    </w:p>
    <w:p w:rsidR="00D15CC2" w:rsidRPr="00A8042F" w:rsidRDefault="00D15CC2" w:rsidP="00D15CC2">
      <w:pPr>
        <w:pStyle w:val="Prrafodelista"/>
        <w:numPr>
          <w:ilvl w:val="0"/>
          <w:numId w:val="2"/>
        </w:numPr>
        <w:ind w:left="426" w:hanging="426"/>
        <w:jc w:val="both"/>
        <w:rPr>
          <w:sz w:val="24"/>
          <w:szCs w:val="24"/>
        </w:rPr>
      </w:pPr>
      <w:r w:rsidRPr="00A8042F">
        <w:rPr>
          <w:sz w:val="24"/>
          <w:szCs w:val="24"/>
        </w:rPr>
        <w:t>Estado de Ejecución del Presupuesto de Gastos</w:t>
      </w:r>
    </w:p>
    <w:p w:rsidR="00D15CC2" w:rsidRPr="00A8042F" w:rsidRDefault="00D15CC2" w:rsidP="00D15CC2">
      <w:pPr>
        <w:pStyle w:val="Prrafodelista"/>
        <w:numPr>
          <w:ilvl w:val="0"/>
          <w:numId w:val="2"/>
        </w:numPr>
        <w:ind w:left="426" w:hanging="426"/>
        <w:jc w:val="both"/>
        <w:rPr>
          <w:sz w:val="24"/>
          <w:szCs w:val="24"/>
        </w:rPr>
      </w:pPr>
      <w:r w:rsidRPr="00A8042F">
        <w:rPr>
          <w:sz w:val="24"/>
          <w:szCs w:val="24"/>
        </w:rPr>
        <w:t>Cuenta Ahorro - Inversión – Financiamiento</w:t>
      </w:r>
    </w:p>
    <w:p w:rsidR="00D15CC2" w:rsidRPr="00A8042F" w:rsidRDefault="00D15CC2" w:rsidP="00D15CC2">
      <w:pPr>
        <w:ind w:left="426" w:hanging="426"/>
        <w:jc w:val="both"/>
        <w:rPr>
          <w:sz w:val="24"/>
          <w:szCs w:val="24"/>
        </w:rPr>
      </w:pPr>
    </w:p>
    <w:p w:rsidR="00D15CC2" w:rsidRPr="00A8042F" w:rsidRDefault="00D15CC2" w:rsidP="00D15CC2">
      <w:pPr>
        <w:jc w:val="both"/>
        <w:rPr>
          <w:b/>
          <w:sz w:val="24"/>
          <w:szCs w:val="24"/>
        </w:rPr>
      </w:pPr>
      <w:r w:rsidRPr="00A8042F">
        <w:rPr>
          <w:b/>
          <w:sz w:val="24"/>
          <w:szCs w:val="24"/>
        </w:rPr>
        <w:t>Patrimoniales</w:t>
      </w:r>
    </w:p>
    <w:p w:rsidR="00D15CC2" w:rsidRPr="00A8042F" w:rsidRDefault="00D15CC2" w:rsidP="00D15CC2">
      <w:pPr>
        <w:pStyle w:val="Prrafodelista"/>
        <w:numPr>
          <w:ilvl w:val="0"/>
          <w:numId w:val="2"/>
        </w:numPr>
        <w:ind w:left="426" w:hanging="426"/>
        <w:jc w:val="both"/>
        <w:rPr>
          <w:sz w:val="24"/>
          <w:szCs w:val="24"/>
        </w:rPr>
      </w:pPr>
      <w:r w:rsidRPr="00A8042F">
        <w:rPr>
          <w:sz w:val="24"/>
          <w:szCs w:val="24"/>
        </w:rPr>
        <w:t>Balance General</w:t>
      </w:r>
    </w:p>
    <w:p w:rsidR="00D15CC2" w:rsidRPr="00A8042F" w:rsidRDefault="00D15CC2" w:rsidP="00D15CC2">
      <w:pPr>
        <w:pStyle w:val="Prrafodelista"/>
        <w:numPr>
          <w:ilvl w:val="0"/>
          <w:numId w:val="2"/>
        </w:numPr>
        <w:ind w:left="426" w:hanging="426"/>
        <w:jc w:val="both"/>
        <w:rPr>
          <w:sz w:val="24"/>
          <w:szCs w:val="24"/>
        </w:rPr>
      </w:pPr>
      <w:r w:rsidRPr="00A8042F">
        <w:rPr>
          <w:sz w:val="24"/>
          <w:szCs w:val="24"/>
        </w:rPr>
        <w:t xml:space="preserve">Estado de Recursos y Gastos Corrientes </w:t>
      </w:r>
    </w:p>
    <w:p w:rsidR="00D15CC2" w:rsidRPr="00A8042F" w:rsidRDefault="00D15CC2" w:rsidP="00D15CC2">
      <w:pPr>
        <w:pStyle w:val="Prrafodelista"/>
        <w:numPr>
          <w:ilvl w:val="0"/>
          <w:numId w:val="2"/>
        </w:numPr>
        <w:ind w:left="426" w:hanging="426"/>
        <w:jc w:val="both"/>
        <w:rPr>
          <w:sz w:val="24"/>
          <w:szCs w:val="24"/>
        </w:rPr>
      </w:pPr>
      <w:r w:rsidRPr="00A8042F">
        <w:rPr>
          <w:sz w:val="24"/>
          <w:szCs w:val="24"/>
        </w:rPr>
        <w:t>Estado de Cambios en el Patrimonio Neto</w:t>
      </w:r>
    </w:p>
    <w:p w:rsidR="00D15CC2" w:rsidRPr="00A8042F" w:rsidRDefault="00D15CC2" w:rsidP="00D15CC2">
      <w:pPr>
        <w:pStyle w:val="Prrafodelista"/>
        <w:ind w:left="426"/>
        <w:jc w:val="both"/>
        <w:rPr>
          <w:sz w:val="24"/>
          <w:szCs w:val="24"/>
        </w:rPr>
      </w:pPr>
    </w:p>
    <w:p w:rsidR="00D15CC2" w:rsidRPr="00A8042F" w:rsidRDefault="00D15CC2" w:rsidP="00D15CC2">
      <w:pPr>
        <w:jc w:val="both"/>
        <w:rPr>
          <w:b/>
          <w:sz w:val="24"/>
          <w:szCs w:val="24"/>
        </w:rPr>
      </w:pPr>
      <w:r w:rsidRPr="00A8042F">
        <w:rPr>
          <w:b/>
          <w:sz w:val="24"/>
          <w:szCs w:val="24"/>
        </w:rPr>
        <w:t>Financieros</w:t>
      </w:r>
    </w:p>
    <w:p w:rsidR="00D15CC2" w:rsidRPr="00A8042F" w:rsidRDefault="00D15CC2" w:rsidP="00D15CC2">
      <w:pPr>
        <w:pStyle w:val="Prrafodelista"/>
        <w:numPr>
          <w:ilvl w:val="0"/>
          <w:numId w:val="2"/>
        </w:numPr>
        <w:ind w:left="426" w:hanging="426"/>
        <w:jc w:val="both"/>
        <w:rPr>
          <w:sz w:val="24"/>
          <w:szCs w:val="24"/>
        </w:rPr>
      </w:pPr>
      <w:r w:rsidRPr="00A8042F">
        <w:rPr>
          <w:sz w:val="24"/>
          <w:szCs w:val="24"/>
        </w:rPr>
        <w:t>Estado de Flujo de Fondos</w:t>
      </w:r>
    </w:p>
    <w:p w:rsidR="00D15CC2" w:rsidRPr="00A8042F" w:rsidRDefault="00D15CC2" w:rsidP="00D15CC2">
      <w:pPr>
        <w:ind w:left="567"/>
        <w:jc w:val="both"/>
        <w:rPr>
          <w:sz w:val="24"/>
          <w:szCs w:val="24"/>
        </w:rPr>
      </w:pPr>
    </w:p>
    <w:p w:rsidR="00D15CC2" w:rsidRPr="00A8042F" w:rsidRDefault="00D15CC2" w:rsidP="00D15CC2">
      <w:pPr>
        <w:jc w:val="both"/>
        <w:rPr>
          <w:b/>
          <w:sz w:val="24"/>
          <w:szCs w:val="24"/>
        </w:rPr>
      </w:pPr>
      <w:r w:rsidRPr="00A8042F">
        <w:rPr>
          <w:b/>
          <w:sz w:val="24"/>
          <w:szCs w:val="24"/>
        </w:rPr>
        <w:t>Otros</w:t>
      </w:r>
    </w:p>
    <w:p w:rsidR="00D15CC2" w:rsidRPr="00A8042F" w:rsidRDefault="00D15CC2" w:rsidP="00D15CC2">
      <w:pPr>
        <w:pStyle w:val="Prrafodelista"/>
        <w:numPr>
          <w:ilvl w:val="0"/>
          <w:numId w:val="2"/>
        </w:numPr>
        <w:ind w:left="426" w:hanging="426"/>
        <w:jc w:val="both"/>
        <w:rPr>
          <w:sz w:val="24"/>
          <w:szCs w:val="24"/>
        </w:rPr>
      </w:pPr>
      <w:r w:rsidRPr="00A8042F">
        <w:rPr>
          <w:sz w:val="24"/>
          <w:szCs w:val="24"/>
        </w:rPr>
        <w:t>Notas a los Estados Financieros</w:t>
      </w:r>
    </w:p>
    <w:p w:rsidR="00D15CC2" w:rsidRPr="00A8042F" w:rsidRDefault="00D15CC2" w:rsidP="00D15CC2">
      <w:pPr>
        <w:pStyle w:val="Prrafodelista"/>
        <w:numPr>
          <w:ilvl w:val="0"/>
          <w:numId w:val="2"/>
        </w:numPr>
        <w:ind w:left="426" w:hanging="426"/>
        <w:jc w:val="both"/>
        <w:rPr>
          <w:sz w:val="24"/>
          <w:szCs w:val="24"/>
        </w:rPr>
      </w:pPr>
      <w:r w:rsidRPr="00A8042F">
        <w:rPr>
          <w:sz w:val="24"/>
          <w:szCs w:val="24"/>
        </w:rPr>
        <w:t>Comprobantes de Registro de Ejecución de Recursos (C-21) y de Gastos (C-31) emitidos por el Sistema de Gestión Pública (SIGEP).</w:t>
      </w:r>
    </w:p>
    <w:p w:rsidR="00D15CC2" w:rsidRPr="00A8042F" w:rsidRDefault="00D15CC2" w:rsidP="00D15CC2">
      <w:pPr>
        <w:pStyle w:val="Prrafodelista"/>
        <w:numPr>
          <w:ilvl w:val="0"/>
          <w:numId w:val="2"/>
        </w:numPr>
        <w:ind w:left="426" w:hanging="426"/>
        <w:jc w:val="both"/>
        <w:rPr>
          <w:sz w:val="24"/>
          <w:szCs w:val="24"/>
        </w:rPr>
      </w:pPr>
      <w:r w:rsidRPr="00A8042F">
        <w:rPr>
          <w:sz w:val="24"/>
          <w:szCs w:val="24"/>
        </w:rPr>
        <w:t>Diarios</w:t>
      </w:r>
    </w:p>
    <w:p w:rsidR="00D15CC2" w:rsidRPr="00A8042F" w:rsidRDefault="00D15CC2" w:rsidP="00D15CC2">
      <w:pPr>
        <w:pStyle w:val="Prrafodelista"/>
        <w:numPr>
          <w:ilvl w:val="0"/>
          <w:numId w:val="2"/>
        </w:numPr>
        <w:ind w:left="426" w:hanging="426"/>
        <w:jc w:val="both"/>
        <w:rPr>
          <w:sz w:val="24"/>
          <w:szCs w:val="24"/>
        </w:rPr>
      </w:pPr>
      <w:r w:rsidRPr="00A8042F">
        <w:rPr>
          <w:sz w:val="24"/>
          <w:szCs w:val="24"/>
        </w:rPr>
        <w:t>Mayores</w:t>
      </w:r>
    </w:p>
    <w:p w:rsidR="00D15CC2" w:rsidRPr="00A8042F" w:rsidRDefault="00D15CC2" w:rsidP="00D15CC2">
      <w:pPr>
        <w:pStyle w:val="Prrafodelista"/>
        <w:numPr>
          <w:ilvl w:val="0"/>
          <w:numId w:val="2"/>
        </w:numPr>
        <w:ind w:left="426" w:hanging="426"/>
        <w:jc w:val="both"/>
        <w:rPr>
          <w:sz w:val="24"/>
          <w:szCs w:val="24"/>
        </w:rPr>
      </w:pPr>
      <w:r w:rsidRPr="00A8042F">
        <w:rPr>
          <w:sz w:val="24"/>
          <w:szCs w:val="24"/>
        </w:rPr>
        <w:t>Registros auxiliares</w:t>
      </w:r>
    </w:p>
    <w:p w:rsidR="00D15CC2" w:rsidRPr="00A8042F" w:rsidRDefault="00D15CC2" w:rsidP="00D15CC2">
      <w:pPr>
        <w:pStyle w:val="Prrafodelista"/>
        <w:numPr>
          <w:ilvl w:val="0"/>
          <w:numId w:val="2"/>
        </w:numPr>
        <w:ind w:left="426" w:hanging="426"/>
        <w:jc w:val="both"/>
        <w:rPr>
          <w:sz w:val="24"/>
          <w:szCs w:val="24"/>
        </w:rPr>
      </w:pPr>
      <w:r w:rsidRPr="00A8042F">
        <w:rPr>
          <w:sz w:val="24"/>
          <w:szCs w:val="24"/>
        </w:rPr>
        <w:t>Inventario de Almacenes</w:t>
      </w:r>
    </w:p>
    <w:p w:rsidR="00D15CC2" w:rsidRPr="00A8042F" w:rsidRDefault="00D15CC2" w:rsidP="00D15CC2">
      <w:pPr>
        <w:pStyle w:val="Prrafodelista"/>
        <w:numPr>
          <w:ilvl w:val="0"/>
          <w:numId w:val="2"/>
        </w:numPr>
        <w:ind w:left="426" w:hanging="426"/>
        <w:jc w:val="both"/>
        <w:rPr>
          <w:sz w:val="24"/>
          <w:szCs w:val="24"/>
        </w:rPr>
      </w:pPr>
      <w:r w:rsidRPr="00A8042F">
        <w:rPr>
          <w:sz w:val="24"/>
          <w:szCs w:val="24"/>
        </w:rPr>
        <w:t>Estado de movimiento de Activos Fijos</w:t>
      </w:r>
    </w:p>
    <w:p w:rsidR="00D15CC2" w:rsidRPr="00A8042F" w:rsidRDefault="00D15CC2" w:rsidP="00D15CC2">
      <w:pPr>
        <w:pStyle w:val="Prrafodelista"/>
        <w:numPr>
          <w:ilvl w:val="0"/>
          <w:numId w:val="2"/>
        </w:numPr>
        <w:ind w:left="426" w:hanging="426"/>
        <w:jc w:val="both"/>
        <w:rPr>
          <w:sz w:val="24"/>
          <w:szCs w:val="24"/>
        </w:rPr>
      </w:pPr>
      <w:r w:rsidRPr="00A8042F">
        <w:rPr>
          <w:sz w:val="24"/>
          <w:szCs w:val="24"/>
        </w:rPr>
        <w:t>Conciliación de cuentas bancarias</w:t>
      </w:r>
    </w:p>
    <w:p w:rsidR="00D15CC2" w:rsidRPr="00A8042F" w:rsidRDefault="00D15CC2" w:rsidP="00D15CC2">
      <w:pPr>
        <w:pStyle w:val="Prrafodelista"/>
        <w:numPr>
          <w:ilvl w:val="0"/>
          <w:numId w:val="2"/>
        </w:numPr>
        <w:ind w:left="426" w:hanging="426"/>
        <w:jc w:val="both"/>
        <w:rPr>
          <w:sz w:val="24"/>
          <w:szCs w:val="24"/>
        </w:rPr>
      </w:pPr>
      <w:r w:rsidRPr="00A8042F">
        <w:rPr>
          <w:sz w:val="24"/>
          <w:szCs w:val="24"/>
        </w:rPr>
        <w:t>Inventario de Existencias</w:t>
      </w:r>
    </w:p>
    <w:p w:rsidR="00D15CC2" w:rsidRPr="00A8042F" w:rsidRDefault="00D15CC2" w:rsidP="00D15CC2">
      <w:pPr>
        <w:ind w:left="567" w:hanging="567"/>
        <w:rPr>
          <w:b/>
          <w:sz w:val="24"/>
          <w:szCs w:val="24"/>
        </w:rPr>
      </w:pPr>
    </w:p>
    <w:p w:rsidR="00D15CC2" w:rsidRPr="00B83AD5" w:rsidRDefault="00D15CC2" w:rsidP="00D15CC2">
      <w:pPr>
        <w:jc w:val="both"/>
        <w:rPr>
          <w:color w:val="000000"/>
          <w:sz w:val="24"/>
          <w:szCs w:val="24"/>
        </w:rPr>
      </w:pPr>
      <w:r w:rsidRPr="00B83AD5">
        <w:rPr>
          <w:color w:val="000000"/>
          <w:sz w:val="24"/>
          <w:szCs w:val="24"/>
        </w:rPr>
        <w:t xml:space="preserve">Los Estados Financieros de la Universidad Mayor, Real y Pontificia de San Francisco Xavier de Chuquisaca al 31 de diciembre de 2024 son confiables, excepto por el  desvió a las Normas Básicas del Sistema de Contabilidad Integrada aprobada con Resolución Suprema </w:t>
      </w:r>
      <w:proofErr w:type="spellStart"/>
      <w:r w:rsidRPr="00B83AD5">
        <w:rPr>
          <w:color w:val="000000"/>
          <w:sz w:val="24"/>
          <w:szCs w:val="24"/>
        </w:rPr>
        <w:t>Nº</w:t>
      </w:r>
      <w:proofErr w:type="spellEnd"/>
      <w:r w:rsidRPr="00B83AD5">
        <w:rPr>
          <w:color w:val="000000"/>
          <w:sz w:val="24"/>
          <w:szCs w:val="24"/>
        </w:rPr>
        <w:t xml:space="preserve"> 222957 emitidas por el Órgano Rector, el cual no afecta de manera sustancial la presentación confiable de los estados financieros en su conjunto, pero tal desvío es significativo con relación a los niveles de significatividad aceptables determinados para la presente auditoria.</w:t>
      </w:r>
    </w:p>
    <w:p w:rsidR="00D15CC2" w:rsidRPr="00B83AD5" w:rsidRDefault="00D15CC2" w:rsidP="00D15CC2">
      <w:pPr>
        <w:ind w:left="567"/>
        <w:jc w:val="both"/>
        <w:rPr>
          <w:sz w:val="24"/>
          <w:szCs w:val="24"/>
        </w:rPr>
      </w:pPr>
    </w:p>
    <w:p w:rsidR="00D15CC2" w:rsidRPr="00B83AD5" w:rsidRDefault="00D15CC2" w:rsidP="00D15CC2">
      <w:pPr>
        <w:jc w:val="both"/>
        <w:rPr>
          <w:sz w:val="24"/>
          <w:szCs w:val="24"/>
        </w:rPr>
      </w:pPr>
      <w:r w:rsidRPr="00B83AD5">
        <w:rPr>
          <w:sz w:val="24"/>
          <w:szCs w:val="24"/>
        </w:rPr>
        <w:t xml:space="preserve">El pronunciamiento sobre la confiabilidad de los registros se emitió en un informe por separado UAI INF. </w:t>
      </w:r>
      <w:proofErr w:type="spellStart"/>
      <w:r w:rsidRPr="00B83AD5">
        <w:rPr>
          <w:sz w:val="24"/>
          <w:szCs w:val="24"/>
        </w:rPr>
        <w:t>Nº</w:t>
      </w:r>
      <w:proofErr w:type="spellEnd"/>
      <w:r w:rsidRPr="00B83AD5">
        <w:rPr>
          <w:sz w:val="24"/>
          <w:szCs w:val="24"/>
        </w:rPr>
        <w:t xml:space="preserve"> 01/2025.</w:t>
      </w:r>
    </w:p>
    <w:p w:rsidR="00D15CC2" w:rsidRPr="00FB0E5E" w:rsidRDefault="00D15CC2" w:rsidP="00D15CC2">
      <w:pPr>
        <w:ind w:left="567"/>
        <w:jc w:val="both"/>
        <w:rPr>
          <w:color w:val="000000"/>
          <w:sz w:val="24"/>
          <w:szCs w:val="24"/>
          <w:highlight w:val="green"/>
        </w:rPr>
      </w:pPr>
    </w:p>
    <w:p w:rsidR="00D15CC2" w:rsidRPr="00B83AD5" w:rsidRDefault="00D15CC2" w:rsidP="00D15CC2">
      <w:pPr>
        <w:jc w:val="both"/>
        <w:rPr>
          <w:color w:val="000000"/>
          <w:sz w:val="24"/>
          <w:szCs w:val="24"/>
        </w:rPr>
      </w:pPr>
      <w:r w:rsidRPr="00B83AD5">
        <w:rPr>
          <w:color w:val="000000"/>
          <w:sz w:val="24"/>
          <w:szCs w:val="24"/>
        </w:rPr>
        <w:t xml:space="preserve">A continuación, desarrollamos el desvío detectado.  </w:t>
      </w:r>
    </w:p>
    <w:p w:rsidR="00D15CC2" w:rsidRPr="00B83AD5" w:rsidRDefault="00D15CC2" w:rsidP="00D15CC2">
      <w:pPr>
        <w:widowControl w:val="0"/>
        <w:pBdr>
          <w:top w:val="nil"/>
          <w:left w:val="nil"/>
          <w:bottom w:val="nil"/>
          <w:right w:val="nil"/>
          <w:between w:val="nil"/>
        </w:pBdr>
        <w:shd w:val="clear" w:color="auto" w:fill="FFFFFF"/>
        <w:tabs>
          <w:tab w:val="left" w:pos="-1440"/>
        </w:tabs>
        <w:ind w:left="993" w:right="-144"/>
        <w:jc w:val="both"/>
        <w:rPr>
          <w:sz w:val="24"/>
          <w:szCs w:val="24"/>
        </w:rPr>
      </w:pPr>
    </w:p>
    <w:p w:rsidR="00D15CC2" w:rsidRPr="00B83AD5" w:rsidRDefault="00D15CC2" w:rsidP="00D15CC2">
      <w:pPr>
        <w:pStyle w:val="Prrafodelista"/>
        <w:widowControl w:val="0"/>
        <w:numPr>
          <w:ilvl w:val="6"/>
          <w:numId w:val="3"/>
        </w:numPr>
        <w:shd w:val="clear" w:color="auto" w:fill="FFFFFF"/>
        <w:tabs>
          <w:tab w:val="left" w:pos="-1440"/>
        </w:tabs>
        <w:ind w:left="284" w:right="-144" w:hanging="284"/>
        <w:jc w:val="both"/>
        <w:rPr>
          <w:sz w:val="24"/>
          <w:szCs w:val="24"/>
          <w:lang w:val="es-BO"/>
        </w:rPr>
      </w:pPr>
      <w:r w:rsidRPr="00B83AD5">
        <w:rPr>
          <w:sz w:val="24"/>
          <w:szCs w:val="24"/>
          <w:lang w:val="es-BO"/>
        </w:rPr>
        <w:t xml:space="preserve">La subcuenta de Edificios, muestra un saldo de Bs602.356.497,01 al 31 de diciembre de 2024, el mismo representa un 60,67% de la cuenta Activo Fijo En Operación y el 46,20% del grupo Activo Fijo (Bienes de Uso). El inventario de Activos Fijos de </w:t>
      </w:r>
      <w:r w:rsidRPr="00B83AD5">
        <w:rPr>
          <w:color w:val="000000"/>
          <w:sz w:val="24"/>
          <w:szCs w:val="24"/>
          <w:lang w:val="es-BO"/>
        </w:rPr>
        <w:t>Edificios</w:t>
      </w:r>
      <w:r w:rsidRPr="00B83AD5">
        <w:rPr>
          <w:sz w:val="24"/>
          <w:szCs w:val="24"/>
          <w:lang w:val="es-BO"/>
        </w:rPr>
        <w:t xml:space="preserve"> al 31 de diciembre de 2024, registra 139 edificaciones y 1 registro de incorporación, haciendo un</w:t>
      </w:r>
      <w:r>
        <w:rPr>
          <w:sz w:val="24"/>
          <w:szCs w:val="24"/>
          <w:lang w:val="es-BO"/>
        </w:rPr>
        <w:t xml:space="preserve"> total de 140 edificaciones, </w:t>
      </w:r>
      <w:r w:rsidRPr="00B83AD5">
        <w:rPr>
          <w:sz w:val="24"/>
          <w:szCs w:val="24"/>
          <w:lang w:val="es-BO"/>
        </w:rPr>
        <w:t>los cuales corresponden a edificios, ampliaciones, modificaciones y mejoras a los inmuebles realizadas durante la gestión 2024. Y, de acuerdo a información proporcionada por la Sección de Activos Fijos, de l</w:t>
      </w:r>
      <w:r>
        <w:rPr>
          <w:sz w:val="24"/>
          <w:szCs w:val="24"/>
          <w:lang w:val="es-BO"/>
        </w:rPr>
        <w:t xml:space="preserve">as 140 edificaciones mencionadas </w:t>
      </w:r>
      <w:r w:rsidRPr="00B83AD5">
        <w:rPr>
          <w:sz w:val="24"/>
          <w:szCs w:val="24"/>
          <w:lang w:val="es-BO"/>
        </w:rPr>
        <w:t>anteriormente, 61 inmuebles requieren documentación de propiedad.</w:t>
      </w:r>
    </w:p>
    <w:p w:rsidR="00D15CC2" w:rsidRPr="00B83AD5" w:rsidRDefault="00D15CC2" w:rsidP="00D15CC2">
      <w:pPr>
        <w:widowControl w:val="0"/>
        <w:shd w:val="clear" w:color="auto" w:fill="FFFFFF"/>
        <w:tabs>
          <w:tab w:val="left" w:pos="-1440"/>
        </w:tabs>
        <w:ind w:left="567" w:right="-144"/>
        <w:jc w:val="both"/>
        <w:rPr>
          <w:sz w:val="24"/>
          <w:szCs w:val="24"/>
          <w:lang w:val="es-BO"/>
        </w:rPr>
      </w:pPr>
    </w:p>
    <w:p w:rsidR="00D15CC2" w:rsidRPr="00B83AD5" w:rsidRDefault="00D15CC2" w:rsidP="00D15CC2">
      <w:pPr>
        <w:widowControl w:val="0"/>
        <w:shd w:val="clear" w:color="auto" w:fill="FFFFFF"/>
        <w:tabs>
          <w:tab w:val="left" w:pos="-1440"/>
        </w:tabs>
        <w:ind w:left="284" w:right="-144"/>
        <w:jc w:val="both"/>
        <w:rPr>
          <w:sz w:val="24"/>
          <w:szCs w:val="24"/>
          <w:lang w:val="es-BO"/>
        </w:rPr>
      </w:pPr>
      <w:r w:rsidRPr="00B83AD5">
        <w:rPr>
          <w:sz w:val="24"/>
          <w:szCs w:val="24"/>
          <w:lang w:val="es-BO"/>
        </w:rPr>
        <w:t xml:space="preserve">Sobre el particular, del análisis y revisión efectuada a la documentación de propiedad de los 61 inmuebles, se ha observado que siete (7) inmuebles no cuentan con documentación de propiedad, de los cales cinco (5) no cuentan con Testimonio de Propiedad y Folio Real y dos (2) no cuentan con Folio Real. Los inmuebles que no cuentan con documentación de propiedad en valor representan Bs63.717.677,52, importe que supera </w:t>
      </w:r>
      <w:r w:rsidRPr="00B83AD5">
        <w:rPr>
          <w:color w:val="000000"/>
          <w:sz w:val="24"/>
          <w:szCs w:val="24"/>
        </w:rPr>
        <w:t>el nivel de significatividad aceptable determinado, referente al 7% del promedio de los grupos que conforman el Capítulo Activo No Corriente que en términos monet</w:t>
      </w:r>
      <w:r>
        <w:rPr>
          <w:color w:val="000000"/>
          <w:sz w:val="24"/>
          <w:szCs w:val="24"/>
        </w:rPr>
        <w:t>arios representa Bs43.151.888,27</w:t>
      </w:r>
      <w:r w:rsidRPr="00B83AD5">
        <w:rPr>
          <w:color w:val="000000"/>
          <w:sz w:val="24"/>
          <w:szCs w:val="24"/>
        </w:rPr>
        <w:t xml:space="preserve">. El importe observado en términos porcentuales representa </w:t>
      </w:r>
      <w:r w:rsidRPr="00B83AD5">
        <w:rPr>
          <w:sz w:val="24"/>
          <w:szCs w:val="24"/>
          <w:lang w:val="es-BO"/>
        </w:rPr>
        <w:t xml:space="preserve">el 10,58% de la Subcuenta Edificios, un 6,42% de la Cuenta Activo Fijo en Operación y, un 4,89% del Grupo Activo Fijo (Bienes de Uso). </w:t>
      </w:r>
    </w:p>
    <w:p w:rsidR="00D15CC2" w:rsidRPr="00B83AD5" w:rsidRDefault="00D15CC2" w:rsidP="00D15CC2">
      <w:pPr>
        <w:ind w:left="567"/>
        <w:jc w:val="both"/>
        <w:rPr>
          <w:sz w:val="24"/>
          <w:szCs w:val="24"/>
        </w:rPr>
      </w:pPr>
    </w:p>
    <w:p w:rsidR="00D15CC2" w:rsidRDefault="00D15CC2" w:rsidP="00D15CC2">
      <w:pPr>
        <w:jc w:val="both"/>
        <w:rPr>
          <w:sz w:val="24"/>
          <w:szCs w:val="24"/>
        </w:rPr>
      </w:pPr>
      <w:r w:rsidRPr="00B83AD5">
        <w:rPr>
          <w:sz w:val="24"/>
          <w:szCs w:val="24"/>
        </w:rPr>
        <w:lastRenderedPageBreak/>
        <w:t>Asimismo, se evidencia que las acciones de control interno relacionadas con los estados financieros, han sido diseñadas y funcionan adecuadamente para lograr la consecución de los objetivos de la Entidad Pública al 31 de diciembre de 2024.</w:t>
      </w:r>
    </w:p>
    <w:p w:rsidR="00D15CC2" w:rsidRPr="006D643B" w:rsidRDefault="00D15CC2" w:rsidP="00D15CC2">
      <w:pPr>
        <w:jc w:val="both"/>
        <w:rPr>
          <w:sz w:val="24"/>
          <w:szCs w:val="24"/>
          <w:highlight w:val="yellow"/>
        </w:rPr>
      </w:pPr>
    </w:p>
    <w:p w:rsidR="00D15CC2" w:rsidRPr="006D643B" w:rsidRDefault="00D15CC2" w:rsidP="00D15CC2">
      <w:pPr>
        <w:jc w:val="both"/>
        <w:rPr>
          <w:sz w:val="24"/>
          <w:szCs w:val="24"/>
          <w:highlight w:val="yellow"/>
        </w:rPr>
      </w:pPr>
    </w:p>
    <w:p w:rsidR="00D15CC2" w:rsidRPr="006D643B" w:rsidRDefault="00D15CC2" w:rsidP="00D15CC2">
      <w:pPr>
        <w:jc w:val="both"/>
        <w:rPr>
          <w:sz w:val="24"/>
          <w:szCs w:val="24"/>
          <w:highlight w:val="yellow"/>
        </w:rPr>
      </w:pPr>
    </w:p>
    <w:p w:rsidR="00D15CC2" w:rsidRPr="006D643B" w:rsidRDefault="00D15CC2" w:rsidP="00D15CC2">
      <w:pPr>
        <w:jc w:val="both"/>
        <w:rPr>
          <w:sz w:val="24"/>
          <w:szCs w:val="24"/>
          <w:highlight w:val="yellow"/>
        </w:rPr>
      </w:pPr>
    </w:p>
    <w:p w:rsidR="00D15CC2" w:rsidRPr="004A3EF5" w:rsidRDefault="00D15CC2" w:rsidP="00D15CC2">
      <w:pPr>
        <w:jc w:val="both"/>
        <w:rPr>
          <w:sz w:val="24"/>
          <w:szCs w:val="24"/>
          <w:lang w:val="es-ES_tradnl"/>
        </w:rPr>
      </w:pPr>
      <w:r w:rsidRPr="00A8042F">
        <w:rPr>
          <w:sz w:val="24"/>
          <w:szCs w:val="24"/>
          <w:lang w:val="es-ES_tradnl"/>
        </w:rPr>
        <w:t>Sucre, 27 de febrero del 2025</w:t>
      </w:r>
    </w:p>
    <w:p w:rsidR="00D15CC2" w:rsidRPr="00E80B92" w:rsidRDefault="00D15CC2" w:rsidP="00D15CC2">
      <w:pPr>
        <w:jc w:val="both"/>
        <w:rPr>
          <w:sz w:val="24"/>
          <w:szCs w:val="24"/>
        </w:rPr>
      </w:pPr>
    </w:p>
    <w:p w:rsidR="00843C81" w:rsidRDefault="00843C81"/>
    <w:sectPr w:rsidR="00843C8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49B2" w:rsidRDefault="00BA49B2" w:rsidP="00D15CC2">
      <w:r>
        <w:separator/>
      </w:r>
    </w:p>
  </w:endnote>
  <w:endnote w:type="continuationSeparator" w:id="0">
    <w:p w:rsidR="00BA49B2" w:rsidRDefault="00BA49B2" w:rsidP="00D1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49B2" w:rsidRDefault="00BA49B2" w:rsidP="00D15CC2">
      <w:r>
        <w:separator/>
      </w:r>
    </w:p>
  </w:footnote>
  <w:footnote w:type="continuationSeparator" w:id="0">
    <w:p w:rsidR="00BA49B2" w:rsidRDefault="00BA49B2" w:rsidP="00D15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5CC2" w:rsidRPr="00D15CC2" w:rsidRDefault="00D15CC2" w:rsidP="00D15CC2">
    <w:pPr>
      <w:pStyle w:val="Ttulo"/>
      <w:tabs>
        <w:tab w:val="left" w:pos="851"/>
      </w:tabs>
      <w:ind w:left="851" w:hanging="142"/>
      <w:jc w:val="center"/>
      <w:rPr>
        <w:rFonts w:ascii="Times New Roman" w:hAnsi="Times New Roman" w:cs="Times New Roman"/>
        <w:b/>
        <w:bCs/>
        <w:sz w:val="24"/>
        <w:szCs w:val="24"/>
      </w:rPr>
    </w:pPr>
    <w:r w:rsidRPr="00D15CC2">
      <w:rPr>
        <w:rFonts w:ascii="Times New Roman" w:hAnsi="Times New Roman" w:cs="Times New Roman"/>
        <w:b/>
        <w:bCs/>
        <w:sz w:val="24"/>
        <w:szCs w:val="24"/>
      </w:rPr>
      <w:t>UNIVERSIDAD MAYOR, REAL Y PONTIFICIA DE SAN FRANCISCO</w:t>
    </w:r>
    <w:r w:rsidRPr="00D15CC2">
      <w:rPr>
        <w:rFonts w:ascii="Times New Roman" w:hAnsi="Times New Roman" w:cs="Times New Roman"/>
        <w:b/>
        <w:bCs/>
        <w:noProof/>
      </w:rPr>
      <mc:AlternateContent>
        <mc:Choice Requires="wps">
          <w:drawing>
            <wp:anchor distT="0" distB="0" distL="114300" distR="114300" simplePos="0" relativeHeight="251659264" behindDoc="0" locked="0" layoutInCell="1" hidden="0" allowOverlap="1" wp14:anchorId="38F8AFF1" wp14:editId="37828931">
              <wp:simplePos x="0" y="0"/>
              <wp:positionH relativeFrom="column">
                <wp:posOffset>-336549</wp:posOffset>
              </wp:positionH>
              <wp:positionV relativeFrom="paragraph">
                <wp:posOffset>-111759</wp:posOffset>
              </wp:positionV>
              <wp:extent cx="802005" cy="907415"/>
              <wp:effectExtent l="0" t="0" r="0" b="0"/>
              <wp:wrapSquare wrapText="bothSides" distT="0" distB="0" distL="114300" distR="11430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907415"/>
                      </a:xfrm>
                      <a:prstGeom prst="rect">
                        <a:avLst/>
                      </a:prstGeom>
                      <a:solidFill>
                        <a:srgbClr val="FFFFFF"/>
                      </a:solidFill>
                      <a:ln w="9525">
                        <a:solidFill>
                          <a:srgbClr val="FFFFFF"/>
                        </a:solidFill>
                        <a:miter lim="800000"/>
                        <a:headEnd/>
                        <a:tailEnd/>
                      </a:ln>
                    </wps:spPr>
                    <wps:txbx>
                      <w:txbxContent>
                        <w:p w:rsidR="00D15CC2" w:rsidRDefault="00D15CC2" w:rsidP="00D15CC2">
                          <w:pPr>
                            <w:ind w:right="-194"/>
                          </w:pPr>
                          <w:r>
                            <w:rPr>
                              <w:noProof/>
                            </w:rPr>
                            <w:drawing>
                              <wp:inline distT="0" distB="0" distL="0" distR="0" wp14:anchorId="2233154A" wp14:editId="1CC48091">
                                <wp:extent cx="609600" cy="80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809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type w14:anchorId="38F8AFF1" id="_x0000_t202" coordsize="21600,21600" o:spt="202" path="m,l,21600r21600,l21600,xe">
              <v:stroke joinstyle="miter"/>
              <v:path gradientshapeok="t" o:connecttype="rect"/>
            </v:shapetype>
            <v:shape id="Cuadro de texto 2" o:spid="_x0000_s1026" type="#_x0000_t202" style="position:absolute;left:0;text-align:left;margin-left:-26.5pt;margin-top:-8.8pt;width:63.15pt;height:71.4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" strokecolor="white">
              <v:textbox style="mso-fit-shape-to-text:t">
                <w:txbxContent>
                  <w:p w:rsidR="00D15CC2" w:rsidRDefault="00D15CC2" w:rsidP="00D15CC2">
                    <w:pPr>
                      <w:ind w:right="-194"/>
                    </w:pPr>
                    <w:r>
                      <w:rPr>
                        <w:noProof/>
                      </w:rPr>
                      <w:drawing>
                        <wp:inline distT="0" distB="0" distL="0" distR="0" wp14:anchorId="2233154A" wp14:editId="1CC48091">
                          <wp:extent cx="609600" cy="80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809625"/>
                                  </a:xfrm>
                                  <a:prstGeom prst="rect">
                                    <a:avLst/>
                                  </a:prstGeom>
                                  <a:noFill/>
                                  <a:ln>
                                    <a:noFill/>
                                  </a:ln>
                                </pic:spPr>
                              </pic:pic>
                            </a:graphicData>
                          </a:graphic>
                        </wp:inline>
                      </w:drawing>
                    </w:r>
                  </w:p>
                </w:txbxContent>
              </v:textbox>
              <w10:wrap type="square"/>
            </v:shape>
          </w:pict>
        </mc:Fallback>
      </mc:AlternateContent>
    </w:r>
  </w:p>
  <w:p w:rsidR="00D15CC2" w:rsidRPr="00D15CC2" w:rsidRDefault="00D15CC2" w:rsidP="00D15CC2">
    <w:pPr>
      <w:pStyle w:val="Ttulo"/>
      <w:tabs>
        <w:tab w:val="left" w:pos="3510"/>
        <w:tab w:val="left" w:pos="3600"/>
      </w:tabs>
      <w:ind w:left="1890" w:hanging="1080"/>
      <w:jc w:val="center"/>
      <w:rPr>
        <w:rFonts w:ascii="Times New Roman" w:hAnsi="Times New Roman" w:cs="Times New Roman"/>
        <w:b/>
        <w:bCs/>
        <w:sz w:val="24"/>
        <w:szCs w:val="24"/>
      </w:rPr>
    </w:pPr>
    <w:r w:rsidRPr="00D15CC2">
      <w:rPr>
        <w:rFonts w:ascii="Times New Roman" w:hAnsi="Times New Roman" w:cs="Times New Roman"/>
        <w:b/>
        <w:bCs/>
        <w:sz w:val="24"/>
        <w:szCs w:val="24"/>
      </w:rPr>
      <w:t>XAVIER DE CHUQUISACA</w:t>
    </w:r>
  </w:p>
  <w:p w:rsidR="00D15CC2" w:rsidRDefault="00D15CC2" w:rsidP="00D15CC2">
    <w:pPr>
      <w:tabs>
        <w:tab w:val="left" w:pos="2770"/>
      </w:tabs>
      <w:ind w:firstLine="708"/>
      <w:jc w:val="center"/>
      <w:rPr>
        <w:b/>
        <w:sz w:val="24"/>
        <w:szCs w:val="24"/>
      </w:rPr>
    </w:pPr>
  </w:p>
  <w:p w:rsidR="00D15CC2" w:rsidRDefault="00D15CC2" w:rsidP="00D15CC2">
    <w:pPr>
      <w:pBdr>
        <w:top w:val="nil"/>
        <w:left w:val="nil"/>
        <w:bottom w:val="nil"/>
        <w:right w:val="nil"/>
        <w:between w:val="nil"/>
      </w:pBdr>
      <w:tabs>
        <w:tab w:val="center" w:pos="4252"/>
        <w:tab w:val="right" w:pos="8504"/>
      </w:tabs>
      <w:jc w:val="center"/>
      <w:rPr>
        <w:b/>
        <w:color w:val="000000"/>
        <w:sz w:val="24"/>
        <w:szCs w:val="24"/>
      </w:rPr>
    </w:pPr>
    <w:r>
      <w:rPr>
        <w:b/>
        <w:color w:val="000000"/>
        <w:sz w:val="24"/>
        <w:szCs w:val="24"/>
      </w:rPr>
      <w:t>DEPARTAMENTO DE AUDITORIA INTERNA</w:t>
    </w:r>
  </w:p>
  <w:p w:rsidR="00D15CC2" w:rsidRDefault="00D15CC2" w:rsidP="00D15CC2">
    <w:pPr>
      <w:pBdr>
        <w:top w:val="nil"/>
        <w:left w:val="nil"/>
        <w:bottom w:val="nil"/>
        <w:right w:val="nil"/>
        <w:between w:val="nil"/>
      </w:pBdr>
      <w:tabs>
        <w:tab w:val="center" w:pos="4252"/>
        <w:tab w:val="right" w:pos="8504"/>
      </w:tabs>
      <w:jc w:val="center"/>
      <w:rPr>
        <w:b/>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6E1C"/>
    <w:multiLevelType w:val="multilevel"/>
    <w:tmpl w:val="D30E3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1C7EF9"/>
    <w:multiLevelType w:val="hybridMultilevel"/>
    <w:tmpl w:val="C344A59A"/>
    <w:lvl w:ilvl="0" w:tplc="400A0001">
      <w:start w:val="1"/>
      <w:numFmt w:val="bullet"/>
      <w:lvlText w:val=""/>
      <w:lvlJc w:val="left"/>
      <w:pPr>
        <w:ind w:left="-1341" w:hanging="360"/>
      </w:pPr>
      <w:rPr>
        <w:rFonts w:ascii="Symbol" w:hAnsi="Symbol" w:hint="default"/>
      </w:rPr>
    </w:lvl>
    <w:lvl w:ilvl="1" w:tplc="400A0003" w:tentative="1">
      <w:start w:val="1"/>
      <w:numFmt w:val="bullet"/>
      <w:lvlText w:val="o"/>
      <w:lvlJc w:val="left"/>
      <w:pPr>
        <w:ind w:left="-621" w:hanging="360"/>
      </w:pPr>
      <w:rPr>
        <w:rFonts w:ascii="Courier New" w:hAnsi="Courier New" w:cs="Courier New" w:hint="default"/>
      </w:rPr>
    </w:lvl>
    <w:lvl w:ilvl="2" w:tplc="400A0005" w:tentative="1">
      <w:start w:val="1"/>
      <w:numFmt w:val="bullet"/>
      <w:lvlText w:val=""/>
      <w:lvlJc w:val="left"/>
      <w:pPr>
        <w:ind w:left="99" w:hanging="360"/>
      </w:pPr>
      <w:rPr>
        <w:rFonts w:ascii="Wingdings" w:hAnsi="Wingdings" w:hint="default"/>
      </w:rPr>
    </w:lvl>
    <w:lvl w:ilvl="3" w:tplc="400A0001" w:tentative="1">
      <w:start w:val="1"/>
      <w:numFmt w:val="bullet"/>
      <w:lvlText w:val=""/>
      <w:lvlJc w:val="left"/>
      <w:pPr>
        <w:ind w:left="819" w:hanging="360"/>
      </w:pPr>
      <w:rPr>
        <w:rFonts w:ascii="Symbol" w:hAnsi="Symbol" w:hint="default"/>
      </w:rPr>
    </w:lvl>
    <w:lvl w:ilvl="4" w:tplc="400A0003" w:tentative="1">
      <w:start w:val="1"/>
      <w:numFmt w:val="bullet"/>
      <w:lvlText w:val="o"/>
      <w:lvlJc w:val="left"/>
      <w:pPr>
        <w:ind w:left="1539" w:hanging="360"/>
      </w:pPr>
      <w:rPr>
        <w:rFonts w:ascii="Courier New" w:hAnsi="Courier New" w:cs="Courier New" w:hint="default"/>
      </w:rPr>
    </w:lvl>
    <w:lvl w:ilvl="5" w:tplc="400A0005" w:tentative="1">
      <w:start w:val="1"/>
      <w:numFmt w:val="bullet"/>
      <w:lvlText w:val=""/>
      <w:lvlJc w:val="left"/>
      <w:pPr>
        <w:ind w:left="2259" w:hanging="360"/>
      </w:pPr>
      <w:rPr>
        <w:rFonts w:ascii="Wingdings" w:hAnsi="Wingdings" w:hint="default"/>
      </w:rPr>
    </w:lvl>
    <w:lvl w:ilvl="6" w:tplc="400A0001" w:tentative="1">
      <w:start w:val="1"/>
      <w:numFmt w:val="bullet"/>
      <w:lvlText w:val=""/>
      <w:lvlJc w:val="left"/>
      <w:pPr>
        <w:ind w:left="2979" w:hanging="360"/>
      </w:pPr>
      <w:rPr>
        <w:rFonts w:ascii="Symbol" w:hAnsi="Symbol" w:hint="default"/>
      </w:rPr>
    </w:lvl>
    <w:lvl w:ilvl="7" w:tplc="400A0003" w:tentative="1">
      <w:start w:val="1"/>
      <w:numFmt w:val="bullet"/>
      <w:lvlText w:val="o"/>
      <w:lvlJc w:val="left"/>
      <w:pPr>
        <w:ind w:left="3699" w:hanging="360"/>
      </w:pPr>
      <w:rPr>
        <w:rFonts w:ascii="Courier New" w:hAnsi="Courier New" w:cs="Courier New" w:hint="default"/>
      </w:rPr>
    </w:lvl>
    <w:lvl w:ilvl="8" w:tplc="400A0005" w:tentative="1">
      <w:start w:val="1"/>
      <w:numFmt w:val="bullet"/>
      <w:lvlText w:val=""/>
      <w:lvlJc w:val="left"/>
      <w:pPr>
        <w:ind w:left="4419" w:hanging="360"/>
      </w:pPr>
      <w:rPr>
        <w:rFonts w:ascii="Wingdings" w:hAnsi="Wingdings" w:hint="default"/>
      </w:rPr>
    </w:lvl>
  </w:abstractNum>
  <w:abstractNum w:abstractNumId="2" w15:restartNumberingAfterBreak="0">
    <w:nsid w:val="738C257B"/>
    <w:multiLevelType w:val="multilevel"/>
    <w:tmpl w:val="214487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32836931">
    <w:abstractNumId w:val="2"/>
  </w:num>
  <w:num w:numId="2" w16cid:durableId="1146313053">
    <w:abstractNumId w:val="1"/>
  </w:num>
  <w:num w:numId="3" w16cid:durableId="1176383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C2"/>
    <w:rsid w:val="006538F0"/>
    <w:rsid w:val="00843C81"/>
    <w:rsid w:val="00BA49B2"/>
    <w:rsid w:val="00C81797"/>
    <w:rsid w:val="00D15CC2"/>
    <w:rsid w:val="00DB5C8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05E03-C735-4DC3-B49E-FF5C2AAB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CC2"/>
    <w:p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Ttulo1">
    <w:name w:val="heading 1"/>
    <w:basedOn w:val="Normal"/>
    <w:next w:val="Normal"/>
    <w:link w:val="Ttulo1Car"/>
    <w:uiPriority w:val="9"/>
    <w:qFormat/>
    <w:rsid w:val="00D15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15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15CC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15CC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15CC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15CC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5CC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5CC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5CC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5CC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15CC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15CC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15CC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15CC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15CC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5CC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5CC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5CC2"/>
    <w:rPr>
      <w:rFonts w:eastAsiaTheme="majorEastAsia" w:cstheme="majorBidi"/>
      <w:color w:val="272727" w:themeColor="text1" w:themeTint="D8"/>
    </w:rPr>
  </w:style>
  <w:style w:type="paragraph" w:styleId="Ttulo">
    <w:name w:val="Title"/>
    <w:basedOn w:val="Normal"/>
    <w:next w:val="Normal"/>
    <w:link w:val="TtuloCar"/>
    <w:uiPriority w:val="99"/>
    <w:qFormat/>
    <w:rsid w:val="00D15CC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99"/>
    <w:rsid w:val="00D15C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15CC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5CC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5CC2"/>
    <w:pPr>
      <w:spacing w:before="160"/>
      <w:jc w:val="center"/>
    </w:pPr>
    <w:rPr>
      <w:i/>
      <w:iCs/>
      <w:color w:val="404040" w:themeColor="text1" w:themeTint="BF"/>
    </w:rPr>
  </w:style>
  <w:style w:type="character" w:customStyle="1" w:styleId="CitaCar">
    <w:name w:val="Cita Car"/>
    <w:basedOn w:val="Fuentedeprrafopredeter"/>
    <w:link w:val="Cita"/>
    <w:uiPriority w:val="29"/>
    <w:rsid w:val="00D15CC2"/>
    <w:rPr>
      <w:i/>
      <w:iCs/>
      <w:color w:val="404040" w:themeColor="text1" w:themeTint="BF"/>
    </w:rPr>
  </w:style>
  <w:style w:type="paragraph" w:styleId="Prrafodelista">
    <w:name w:val="List Paragraph"/>
    <w:aliases w:val="titulo 5,GRÁFICO,Párrafo,본문1,MAPA,Viñeta,TITULO A,Cuadro 2-1,paul2,Iz - Párrafo de lista,Sivsa Parrafo,Titulo de Fígura,Fundamentacion,Lista vistosa - Énfasis 11,Párrafo de lista1,VIÑETAS,de,lista,TIT 2 IND,Capítulo,Bullets"/>
    <w:basedOn w:val="Normal"/>
    <w:link w:val="PrrafodelistaCar"/>
    <w:uiPriority w:val="34"/>
    <w:qFormat/>
    <w:rsid w:val="00D15CC2"/>
    <w:pPr>
      <w:ind w:left="720"/>
      <w:contextualSpacing/>
    </w:pPr>
  </w:style>
  <w:style w:type="character" w:styleId="nfasisintenso">
    <w:name w:val="Intense Emphasis"/>
    <w:basedOn w:val="Fuentedeprrafopredeter"/>
    <w:uiPriority w:val="21"/>
    <w:qFormat/>
    <w:rsid w:val="00D15CC2"/>
    <w:rPr>
      <w:i/>
      <w:iCs/>
      <w:color w:val="0F4761" w:themeColor="accent1" w:themeShade="BF"/>
    </w:rPr>
  </w:style>
  <w:style w:type="paragraph" w:styleId="Citadestacada">
    <w:name w:val="Intense Quote"/>
    <w:basedOn w:val="Normal"/>
    <w:next w:val="Normal"/>
    <w:link w:val="CitadestacadaCar"/>
    <w:uiPriority w:val="30"/>
    <w:qFormat/>
    <w:rsid w:val="00D15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15CC2"/>
    <w:rPr>
      <w:i/>
      <w:iCs/>
      <w:color w:val="0F4761" w:themeColor="accent1" w:themeShade="BF"/>
    </w:rPr>
  </w:style>
  <w:style w:type="character" w:styleId="Referenciaintensa">
    <w:name w:val="Intense Reference"/>
    <w:basedOn w:val="Fuentedeprrafopredeter"/>
    <w:uiPriority w:val="32"/>
    <w:qFormat/>
    <w:rsid w:val="00D15CC2"/>
    <w:rPr>
      <w:b/>
      <w:bCs/>
      <w:smallCaps/>
      <w:color w:val="0F4761" w:themeColor="accent1" w:themeShade="BF"/>
      <w:spacing w:val="5"/>
    </w:rPr>
  </w:style>
  <w:style w:type="character" w:customStyle="1" w:styleId="PrrafodelistaCar">
    <w:name w:val="Párrafo de lista Car"/>
    <w:aliases w:val="titulo 5 Car,GRÁFICO Car,Párrafo Car,본문1 Car,MAPA Car,Viñeta Car,TITULO A Car,Cuadro 2-1 Car,paul2 Car,Iz - Párrafo de lista Car,Sivsa Parrafo Car,Titulo de Fígura Car,Fundamentacion Car,Lista vistosa - Énfasis 11 Car,VIÑETAS Car"/>
    <w:link w:val="Prrafodelista"/>
    <w:uiPriority w:val="34"/>
    <w:qFormat/>
    <w:locked/>
    <w:rsid w:val="00D15CC2"/>
  </w:style>
  <w:style w:type="paragraph" w:styleId="Encabezado">
    <w:name w:val="header"/>
    <w:basedOn w:val="Normal"/>
    <w:link w:val="EncabezadoCar"/>
    <w:uiPriority w:val="99"/>
    <w:unhideWhenUsed/>
    <w:rsid w:val="00D15CC2"/>
    <w:pPr>
      <w:tabs>
        <w:tab w:val="center" w:pos="4513"/>
        <w:tab w:val="right" w:pos="9026"/>
      </w:tabs>
    </w:pPr>
  </w:style>
  <w:style w:type="character" w:customStyle="1" w:styleId="EncabezadoCar">
    <w:name w:val="Encabezado Car"/>
    <w:basedOn w:val="Fuentedeprrafopredeter"/>
    <w:link w:val="Encabezado"/>
    <w:uiPriority w:val="99"/>
    <w:rsid w:val="00D15CC2"/>
    <w:rPr>
      <w:rFonts w:ascii="Times New Roman" w:eastAsia="Times New Roman" w:hAnsi="Times New Roman" w:cs="Times New Roman"/>
      <w:kern w:val="0"/>
      <w:sz w:val="20"/>
      <w:szCs w:val="20"/>
      <w:lang w:val="es-ES" w:eastAsia="es-ES"/>
      <w14:ligatures w14:val="none"/>
    </w:rPr>
  </w:style>
  <w:style w:type="paragraph" w:styleId="Piedepgina">
    <w:name w:val="footer"/>
    <w:basedOn w:val="Normal"/>
    <w:link w:val="PiedepginaCar"/>
    <w:uiPriority w:val="99"/>
    <w:unhideWhenUsed/>
    <w:rsid w:val="00D15CC2"/>
    <w:pPr>
      <w:tabs>
        <w:tab w:val="center" w:pos="4513"/>
        <w:tab w:val="right" w:pos="9026"/>
      </w:tabs>
    </w:pPr>
  </w:style>
  <w:style w:type="character" w:customStyle="1" w:styleId="PiedepginaCar">
    <w:name w:val="Pie de página Car"/>
    <w:basedOn w:val="Fuentedeprrafopredeter"/>
    <w:link w:val="Piedepgina"/>
    <w:uiPriority w:val="99"/>
    <w:rsid w:val="00D15CC2"/>
    <w:rPr>
      <w:rFonts w:ascii="Times New Roman" w:eastAsia="Times New Roman" w:hAnsi="Times New Roman"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799</Words>
  <Characters>4400</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usrUAIN2</dc:creator>
  <cp:keywords/>
  <dc:description/>
  <cp:lastModifiedBy>usrUAIN2</cp:lastModifiedBy>
  <cp:revision>1</cp:revision>
  <dcterms:created xsi:type="dcterms:W3CDTF">2025-03-11T20:26:00Z</dcterms:created>
  <dcterms:modified xsi:type="dcterms:W3CDTF">2025-03-11T20:45:00Z</dcterms:modified>
</cp:coreProperties>
</file>